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val="en-US" w:eastAsia="zh-CN"/>
        </w:rPr>
        <w:t>菜屯镇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菜屯镇</w:t>
            </w:r>
            <w:r>
              <w:rPr>
                <w:rFonts w:hint="eastAsia" w:ascii="仿宋_GB2312" w:hAnsi="宋体" w:eastAsia="仿宋_GB2312"/>
                <w:sz w:val="24"/>
              </w:rPr>
              <w:t>联合校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业务室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15963171648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根据学生生源实际和课程标准，落实国家课程和国家课程校本化任务，立德树人，提供符合学生需求的课程内容，多元培养，规范中小学办学行为，减轻中小学生过重的课业负担，促进学生全面健康和谐发展和教师的专业发展，提升基础教育办学水平和质量，培养全面发展的小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19106E"/>
    <w:rsid w:val="005D6D01"/>
    <w:rsid w:val="2FA94FE9"/>
    <w:rsid w:val="5FCE4E43"/>
    <w:rsid w:val="6FF33736"/>
    <w:rsid w:val="7CB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ScaleCrop>false</ScaleCrop>
  <LinksUpToDate>false</LinksUpToDate>
  <CharactersWithSpaces>358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2017-10-29T11:48:26Z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