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eastAsia="zh-CN"/>
        </w:rPr>
        <w:t>菜屯镇</w:t>
      </w:r>
      <w:r>
        <w:rPr>
          <w:rFonts w:hint="eastAsia" w:ascii="仿宋_GB2312" w:hAnsi="宋体" w:eastAsia="仿宋_GB2312"/>
          <w:sz w:val="24"/>
          <w:lang w:val="en-US" w:eastAsia="zh-CN"/>
        </w:rPr>
        <w:t>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菜屯镇</w:t>
            </w:r>
            <w:r>
              <w:rPr>
                <w:rFonts w:hint="eastAsia" w:ascii="仿宋_GB2312" w:hAnsi="宋体" w:eastAsia="仿宋_GB2312"/>
                <w:sz w:val="24"/>
              </w:rPr>
              <w:t>联合校办公室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15966221657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按照学校章程和有关规定开展的党务、纪检、人事、财务、女工委等内部管理工作。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E35A69"/>
    <w:rsid w:val="00F26B09"/>
    <w:rsid w:val="2FA94FE9"/>
    <w:rsid w:val="36DF155A"/>
    <w:rsid w:val="593A1BED"/>
    <w:rsid w:val="732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ScaleCrop>false</ScaleCrop>
  <LinksUpToDate>false</LinksUpToDate>
  <CharactersWithSpaces>259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2017-10-29T11:42:05Z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