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eastAsia="zh-CN"/>
        </w:rPr>
        <w:t>茌平县洪官屯镇联合校</w:t>
      </w:r>
      <w:r>
        <w:rPr>
          <w:rFonts w:ascii="仿宋_GB2312" w:hAnsi="宋体" w:eastAsia="仿宋_GB2312"/>
          <w:sz w:val="24"/>
        </w:rPr>
        <w:t xml:space="preserve"> 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少先队建设及管理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茌平县洪官屯镇联合校少先队大队部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18063538122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《共青团中央、教育部、全国少工委印发&lt;少先队改革方案&gt;的通知》(中青联发〔2017〕3号)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1.深化“经典与感恩”德育特色，向全国德育品牌学校再进一步。2.丰富少先队活动，打造少先队活动品牌。3.扎实做好卫生常规工作。4.做好疾病防控、卫生防疫和普法工作。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BatangChe">
    <w:altName w:val="GulimChe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GulimChe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0FC82B85"/>
    <w:rsid w:val="2FA94FE9"/>
    <w:rsid w:val="690A16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2017-11-01T07:50:55Z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